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PT Astra Serif" w:hAnsi="PT Astra Serif"/>
        </w:rPr>
      </w:pPr>
      <w:r>
        <w:t xml:space="preserve">                                                                               </w:t>
      </w:r>
      <w:r>
        <w:rPr>
          <w:rFonts w:ascii="PT Astra Serif" w:hAnsi="PT Astra Serif"/>
        </w:rPr>
        <w:t xml:space="preserve">Приложение</w:t>
      </w:r>
      <w:r>
        <w:rPr>
          <w:rFonts w:ascii="PT Astra Serif" w:hAnsi="PT Astra Serif"/>
        </w:rPr>
        <w:t xml:space="preserve"> 1</w:t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p>
      <w:pPr>
        <w:ind w:left="5529"/>
        <w:rPr>
          <w:rFonts w:ascii="PT Astra Serif" w:hAnsi="PT Astra Serif"/>
        </w:rPr>
      </w:pPr>
      <w:r>
        <w:rPr>
          <w:rFonts w:ascii="PT Astra Serif" w:hAnsi="PT Astra Serif"/>
        </w:rPr>
        <w:t xml:space="preserve">к постановлению</w:t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p>
      <w:pPr>
        <w:ind w:left="5529"/>
        <w:rPr>
          <w:rFonts w:ascii="PT Astra Serif" w:hAnsi="PT Astra Serif"/>
        </w:rPr>
      </w:pPr>
      <w:r>
        <w:rPr>
          <w:rFonts w:ascii="PT Astra Serif" w:hAnsi="PT Astra Serif"/>
        </w:rPr>
        <w:t xml:space="preserve">администрации города</w:t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p>
      <w:pPr>
        <w:ind w:left="5529"/>
        <w:rPr>
          <w:rFonts w:ascii="PT Astra Serif" w:hAnsi="PT Astra Serif"/>
        </w:rPr>
      </w:pPr>
      <w:r>
        <w:rPr>
          <w:rFonts w:ascii="PT Astra Serif" w:hAnsi="PT Astra Serif"/>
        </w:rPr>
        <w:t xml:space="preserve">от_____________</w:t>
      </w:r>
      <w:r>
        <w:rPr>
          <w:rFonts w:ascii="PT Astra Serif" w:hAnsi="PT Astra Serif"/>
        </w:rPr>
        <w:t xml:space="preserve"> № ______</w:t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p>
      <w:pPr>
        <w:jc w:val="center"/>
        <w:rPr>
          <w:rFonts w:ascii="PT Astra Serif" w:hAnsi="PT Astra Serif"/>
          <w:bCs/>
        </w:rPr>
        <w:outlineLvl w:val="0"/>
      </w:pP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</w:p>
    <w:p>
      <w:pPr>
        <w:jc w:val="center"/>
        <w:rPr>
          <w:rFonts w:ascii="PT Astra Serif" w:hAnsi="PT Astra Serif"/>
          <w:bCs/>
        </w:rPr>
        <w:outlineLvl w:val="0"/>
      </w:pP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</w:p>
    <w:p>
      <w:pPr>
        <w:jc w:val="center"/>
        <w:rPr>
          <w:rFonts w:ascii="PT Astra Serif" w:hAnsi="PT Astra Serif"/>
          <w:bCs/>
        </w:rPr>
        <w:outlineLvl w:val="0"/>
      </w:pPr>
      <w:r>
        <w:rPr>
          <w:rFonts w:ascii="PT Astra Serif" w:hAnsi="PT Astra Serif"/>
          <w:bCs/>
        </w:rPr>
        <w:t xml:space="preserve">ПАСПОРТ</w:t>
      </w:r>
      <w:r>
        <w:rPr>
          <w:rFonts w:ascii="PT Astra Serif" w:hAnsi="PT Astra Serif"/>
          <w:bCs/>
        </w:rPr>
        <w:br/>
        <w:t xml:space="preserve">муниципальной программы </w:t>
      </w: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</w:p>
    <w:p>
      <w:pPr>
        <w:jc w:val="center"/>
        <w:rPr>
          <w:rFonts w:ascii="PT Astra Serif" w:hAnsi="PT Astra Serif"/>
          <w:bCs/>
        </w:rPr>
        <w:outlineLvl w:val="0"/>
      </w:pPr>
      <w:r>
        <w:rPr>
          <w:rFonts w:ascii="PT Astra Serif" w:hAnsi="PT Astra Serif"/>
          <w:bCs/>
        </w:rPr>
        <w:t xml:space="preserve">«Совершенствование муниципального управления и реализация национальной политики в городе Барнауле» (далее – Программа)</w:t>
      </w: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</w:p>
    <w:p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tbl>
      <w:tblPr>
        <w:tblW w:w="899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30"/>
        <w:gridCol w:w="6663"/>
      </w:tblGrid>
      <w:tr>
        <w:tblPrEx/>
        <w:trPr/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Ответственный исполнитель Программы 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экономического развития и инвестиционной деятельности администрации города Барнаула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/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Соисполнители Программы 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кадрам и муниципальной службе администрации города Барнаула;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общественных связей и безопасности администрации города Барнаула;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информатизации администрации города Барнаула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/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Участники Программы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Органы администрации города Барнаула;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Счетная п</w:t>
            </w:r>
            <w:r>
              <w:rPr>
                <w:rFonts w:ascii="PT Astra Serif" w:hAnsi="PT Astra Serif"/>
              </w:rPr>
              <w:t xml:space="preserve">а</w:t>
            </w:r>
            <w:r>
              <w:rPr>
                <w:rFonts w:ascii="PT Astra Serif" w:hAnsi="PT Astra Serif"/>
              </w:rPr>
              <w:t xml:space="preserve">лата города Барнаула;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органы местного самоуправления города Барнаула;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 xml:space="preserve">избирательная комиссия муниципального образования города Барнаула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bCs/>
              </w:rPr>
              <w:t xml:space="preserve">(до дня внесения в единый государственный реестр юридических лиц записи о ее ликвидации в соответствии с решением Барнаульской городской Думы от 17.06.2022 №934);</w:t>
            </w:r>
            <w:r>
              <w:rPr>
                <w:rFonts w:ascii="PT Astra Serif" w:hAnsi="PT Astra Serif"/>
                <w:bCs/>
              </w:rPr>
            </w:r>
            <w:r>
              <w:rPr>
                <w:rFonts w:ascii="PT Astra Serif" w:hAnsi="PT Astra Serif"/>
                <w:bCs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некоммерческие организации;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национально-культурные объединения;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Общественная палата города Барнаула;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Совет женщин при главе города Барнаула;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органы территориального общественного самоуправления</w:t>
            </w:r>
            <w:r>
              <w:rPr>
                <w:rFonts w:ascii="PT Astra Serif" w:hAnsi="PT Astra Serif"/>
              </w:rPr>
              <w:t xml:space="preserve">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Министерства внутренних дел Российской Федерации по городу Барнаулу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(по согласованию);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Федеральной службы войск национальной гвардии Российской Федерации по Алтайскому краю (по согласованию); 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федеральное государственное казенное образовательное учреждение высшего образования «Барнаульский юридический институт Министерства </w:t>
            </w:r>
            <w:r>
              <w:rPr>
                <w:rFonts w:ascii="PT Astra Serif" w:hAnsi="PT Astra Serif"/>
              </w:rPr>
              <w:t xml:space="preserve">внутренних дел Российской Федерации» </w:t>
            </w:r>
            <w:r>
              <w:rPr>
                <w:rFonts w:ascii="PT Astra Serif" w:hAnsi="PT Astra Serif"/>
              </w:rPr>
              <w:br/>
            </w:r>
            <w:r>
              <w:rPr>
                <w:rFonts w:ascii="PT Astra Serif" w:hAnsi="PT Astra Serif"/>
              </w:rPr>
              <w:t xml:space="preserve">(по согласованию); 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центр по противодействию экстремизму Главного управления Министерства внутренних дел Российской Федерации по Алтайскому краю (по согласованию)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/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Подпрограммы Программы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«Цифровой муниципалитет» </w:t>
            </w:r>
            <w:r>
              <w:rPr>
                <w:rFonts w:ascii="PT Astra Serif" w:hAnsi="PT Astra Serif"/>
              </w:rPr>
              <w:t xml:space="preserve">(</w:t>
            </w:r>
            <w:r>
              <w:rPr>
                <w:rFonts w:ascii="PT Astra Serif" w:hAnsi="PT Astra Serif"/>
              </w:rPr>
              <w:t xml:space="preserve">подпрограмма </w:t>
            </w:r>
            <w:r>
              <w:rPr>
                <w:rFonts w:ascii="PT Astra Serif" w:hAnsi="PT Astra Serif"/>
              </w:rPr>
              <w:t xml:space="preserve">реализовывалась в течение</w:t>
            </w:r>
            <w:r>
              <w:rPr>
                <w:rFonts w:ascii="PT Astra Serif" w:hAnsi="PT Astra Serif"/>
              </w:rPr>
              <w:t xml:space="preserve"> 2020-2023 годов</w:t>
            </w:r>
            <w:r>
              <w:rPr>
                <w:rFonts w:ascii="PT Astra Serif" w:hAnsi="PT Astra Serif"/>
              </w:rPr>
              <w:t xml:space="preserve">) </w:t>
            </w:r>
            <w:r>
              <w:rPr>
                <w:rFonts w:ascii="PT Astra Serif" w:hAnsi="PT Astra Serif"/>
              </w:rPr>
              <w:br/>
            </w:r>
            <w:r>
              <w:rPr>
                <w:rFonts w:ascii="PT Astra Serif" w:hAnsi="PT Astra Serif"/>
              </w:rPr>
              <w:t xml:space="preserve">(</w:t>
            </w:r>
            <w:hyperlink w:tooltip="#sub_10000" w:anchor="sub_10000" w:history="1">
              <w:r>
                <w:rPr>
                  <w:rFonts w:ascii="PT Astra Serif" w:hAnsi="PT Astra Serif"/>
                </w:rPr>
                <w:t xml:space="preserve">приложение </w:t>
              </w:r>
            </w:hyperlink>
            <w:r>
              <w:rPr>
                <w:rFonts w:ascii="PT Astra Serif" w:hAnsi="PT Astra Serif"/>
              </w:rPr>
              <w:t xml:space="preserve">1);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«Совершенствование кадрового обеспечения муниципального управления в городе Барнауле» (</w:t>
            </w:r>
            <w:hyperlink w:tooltip="#sub_20000" w:anchor="sub_20000" w:history="1">
              <w:r>
                <w:rPr>
                  <w:rFonts w:ascii="PT Astra Serif" w:hAnsi="PT Astra Serif"/>
                </w:rPr>
                <w:t xml:space="preserve">приложение </w:t>
              </w:r>
            </w:hyperlink>
            <w:r>
              <w:rPr>
                <w:rFonts w:ascii="PT Astra Serif" w:hAnsi="PT Astra Serif"/>
              </w:rPr>
              <w:t xml:space="preserve">2);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«Совершенствование взаимодействия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с некоммерческим сектором и реализация национальной политики в городе Барнауле» (</w:t>
            </w:r>
            <w:hyperlink w:tooltip="#sub_30000" w:anchor="sub_30000" w:history="1">
              <w:r>
                <w:rPr>
                  <w:rFonts w:ascii="PT Astra Serif" w:hAnsi="PT Astra Serif"/>
                </w:rPr>
                <w:t xml:space="preserve">приложение</w:t>
              </w:r>
            </w:hyperlink>
            <w:r>
              <w:rPr>
                <w:rFonts w:ascii="PT Astra Serif" w:hAnsi="PT Astra Serif"/>
              </w:rPr>
              <w:t xml:space="preserve"> 3)</w:t>
            </w:r>
            <w:r>
              <w:rPr>
                <w:rFonts w:ascii="PT Astra Serif" w:hAnsi="PT Astra Serif"/>
              </w:rPr>
              <w:t xml:space="preserve">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«</w:t>
            </w:r>
            <w:r>
              <w:rPr>
                <w:rFonts w:ascii="PT Astra Serif" w:hAnsi="PT Astra Serif"/>
              </w:rPr>
              <w:t xml:space="preserve">Противодействие экстремизму и идеологии терроризма в городе Барнауле</w:t>
            </w:r>
            <w:r>
              <w:rPr>
                <w:rFonts w:ascii="PT Astra Serif" w:hAnsi="PT Astra Serif"/>
              </w:rPr>
              <w:t xml:space="preserve">» (приложение 4)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>
          <w:trHeight w:val="1270"/>
        </w:trPr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Программно-целевые инструменты Программы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Отсутствуют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>
          <w:trHeight w:val="2961"/>
        </w:trPr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Цель Программы 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Повышение качества управления социальн</w:t>
            </w:r>
            <w:r>
              <w:rPr>
                <w:rFonts w:ascii="PT Astra Serif" w:hAnsi="PT Astra Serif"/>
              </w:rPr>
              <w:t xml:space="preserve">о-экономическим развитием городского округа – города Барнаула Алтайского края (далее – город</w:t>
            </w:r>
            <w:r>
              <w:rPr>
                <w:rFonts w:ascii="PT Astra Serif" w:hAnsi="PT Astra Serif"/>
              </w:rPr>
              <w:t xml:space="preserve">;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br/>
            </w:r>
            <w:r>
              <w:rPr>
                <w:rFonts w:ascii="PT Astra Serif" w:hAnsi="PT Astra Serif"/>
              </w:rPr>
              <w:t xml:space="preserve">город </w:t>
            </w:r>
            <w:r>
              <w:rPr>
                <w:rFonts w:ascii="PT Astra Serif" w:hAnsi="PT Astra Serif"/>
              </w:rPr>
              <w:t xml:space="preserve">Барнаул) посредством</w:t>
            </w:r>
            <w:r>
              <w:rPr>
                <w:rFonts w:ascii="PT Astra Serif" w:hAnsi="PT Astra Serif"/>
              </w:rPr>
              <w:t xml:space="preserve"> развития муниципальной службы, привлечение населения к решению задач развития города</w:t>
            </w:r>
            <w:r>
              <w:rPr>
                <w:rFonts w:ascii="PT Astra Serif" w:hAnsi="PT Astra Serif"/>
              </w:rPr>
              <w:t xml:space="preserve">, </w:t>
            </w:r>
            <w:r>
              <w:rPr>
                <w:rFonts w:ascii="PT Astra Serif" w:hAnsi="PT Astra Serif"/>
              </w:rPr>
              <w:t xml:space="preserve">организация эффективной системы мер, направленных на профилактику угроз распространения идеологий экстремизма и терроризма на территории города Барнаула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>
          <w:trHeight w:val="2312"/>
        </w:trPr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Задачи Программы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</w:t>
            </w:r>
            <w:r>
              <w:rPr>
                <w:rFonts w:ascii="PT Astra Serif" w:hAnsi="PT Astra Serif"/>
              </w:rPr>
              <w:t xml:space="preserve">овышение эффективности деятельности органов местного самоуправления города Барнаула</w:t>
            </w:r>
            <w:r>
              <w:rPr>
                <w:rFonts w:ascii="PT Astra Serif" w:hAnsi="PT Astra Serif"/>
              </w:rPr>
              <w:t xml:space="preserve">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  <w:r>
              <w:rPr>
                <w:rFonts w:ascii="PT Astra Serif" w:hAnsi="PT Astra Serif"/>
                <w:bCs/>
              </w:rPr>
              <w:t xml:space="preserve">;</w:t>
            </w:r>
            <w:r>
              <w:rPr>
                <w:rFonts w:ascii="PT Astra Serif" w:hAnsi="PT Astra Serif"/>
                <w:bCs/>
              </w:rPr>
            </w:r>
            <w:r>
              <w:rPr>
                <w:rFonts w:ascii="PT Astra Serif" w:hAnsi="PT Astra Serif"/>
                <w:bCs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предупреждение террористических угроз и профилактика экстремизма</w:t>
            </w:r>
            <w:r>
              <w:rPr>
                <w:rFonts w:ascii="PT Astra Serif" w:hAnsi="PT Astra Serif"/>
                <w:bCs/>
              </w:rPr>
            </w:r>
            <w:r>
              <w:rPr>
                <w:rFonts w:ascii="PT Astra Serif" w:hAnsi="PT Astra Serif"/>
                <w:bCs/>
              </w:rPr>
            </w:r>
          </w:p>
        </w:tc>
      </w:tr>
      <w:tr>
        <w:tblPrEx/>
        <w:trPr/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Индикаторы Программы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Доля муниципальных служащих, охваченных ежегодно дополнительным профессиональным образованием за счет средств подпрограммы «Совершенствование кадрового обеспечения муниципального управления в городе Барнауле»;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highlight w:val="none"/>
              </w:rPr>
            </w:r>
            <w:r>
              <w:rPr>
                <w:rFonts w:ascii="PT Astra Serif" w:hAnsi="PT Astra Serif" w:eastAsia="PT Astra Serif" w:cs="PT Astra Serif"/>
              </w:rPr>
              <w:t xml:space="preserve">количество городских мероприятий, направленных на гармонизацию межнациональных и межконфессиональных отношений и развитие национальных культур в городе Барнауле;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доля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/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Сроки и этапы реализации Программы 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2020</w:t>
            </w:r>
            <w:r>
              <w:rPr>
                <w:rFonts w:ascii="PT Astra Serif" w:hAnsi="PT Astra Serif"/>
                <w:bCs/>
              </w:rPr>
              <w:t xml:space="preserve"> – </w:t>
            </w:r>
            <w:r>
              <w:rPr>
                <w:rFonts w:ascii="PT Astra Serif" w:hAnsi="PT Astra Serif"/>
              </w:rPr>
              <w:t xml:space="preserve">202</w:t>
            </w:r>
            <w:r>
              <w:rPr>
                <w:rFonts w:ascii="PT Astra Serif" w:hAnsi="PT Astra Serif"/>
              </w:rPr>
              <w:t xml:space="preserve">8</w:t>
            </w:r>
            <w:r>
              <w:rPr>
                <w:rFonts w:ascii="PT Astra Serif" w:hAnsi="PT Astra Serif"/>
              </w:rPr>
              <w:t xml:space="preserve"> годы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>
          <w:trHeight w:val="70"/>
        </w:trPr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/>
            <w:bookmarkStart w:id="0" w:name="sub_110"/>
            <w:r>
              <w:rPr>
                <w:rFonts w:ascii="PT Astra Serif" w:hAnsi="PT Astra Serif"/>
                <w:bCs/>
              </w:rPr>
              <w:t xml:space="preserve">Объемы финансирования Программы</w:t>
            </w:r>
            <w:bookmarkEnd w:id="0"/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Объем финансирования Программы за счет всех источников в 2020 – 202</w:t>
            </w:r>
            <w:r>
              <w:rPr>
                <w:rFonts w:ascii="PT Astra Serif" w:hAnsi="PT Astra Serif"/>
              </w:rPr>
              <w:t xml:space="preserve">8</w:t>
            </w:r>
            <w:r>
              <w:rPr>
                <w:rFonts w:ascii="PT Astra Serif" w:hAnsi="PT Astra Serif"/>
              </w:rPr>
              <w:t xml:space="preserve"> годах составляет </w:t>
            </w:r>
            <w:r>
              <w:rPr>
                <w:rFonts w:ascii="PT Astra Serif" w:hAnsi="PT Astra Serif"/>
              </w:rPr>
              <w:br/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1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 563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 501,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7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5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1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7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4</w:t>
            </w:r>
            <w:r>
              <w:rPr>
                <w:rFonts w:ascii="PT Astra Serif" w:hAnsi="PT Astra Serif" w:eastAsia="Times New Roman"/>
                <w:color w:val="000000"/>
              </w:rPr>
              <w:t xml:space="preserve"> </w:t>
            </w:r>
            <w:r>
              <w:rPr>
                <w:rFonts w:ascii="PT Astra Serif" w:hAnsi="PT Astra Serif"/>
              </w:rPr>
              <w:t xml:space="preserve">тыс.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рублей, в том числе по годам: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rPr>
                <w:rFonts w:ascii="PT Astra Serif" w:hAnsi="PT Astra Serif" w:eastAsia="Times New Roman"/>
                <w:color w:val="000000"/>
              </w:rPr>
            </w:pPr>
            <w:r>
              <w:rPr>
                <w:rFonts w:ascii="PT Astra Serif" w:hAnsi="PT Astra Serif" w:eastAsia="Times New Roman"/>
                <w:color w:val="000000"/>
              </w:rPr>
              <w:t xml:space="preserve">2020 год – 78 823,4 тыс. рублей;</w:t>
            </w:r>
            <w:r>
              <w:rPr>
                <w:rFonts w:ascii="PT Astra Serif" w:hAnsi="PT Astra Serif" w:eastAsia="Times New Roman"/>
                <w:color w:val="000000"/>
              </w:rPr>
            </w:r>
            <w:r>
              <w:rPr>
                <w:rFonts w:ascii="PT Astra Serif" w:hAnsi="PT Astra Serif" w:eastAsia="Times New Roman"/>
                <w:color w:val="000000"/>
              </w:rPr>
            </w:r>
          </w:p>
          <w:p>
            <w:pPr>
              <w:jc w:val="both"/>
              <w:rPr>
                <w:rFonts w:ascii="PT Astra Serif" w:hAnsi="PT Astra Serif" w:eastAsia="Times New Roman"/>
                <w:color w:val="000000"/>
              </w:rPr>
            </w:pPr>
            <w:r>
              <w:rPr>
                <w:rFonts w:ascii="PT Astra Serif" w:hAnsi="PT Astra Serif" w:eastAsia="Times New Roman"/>
                <w:color w:val="000000"/>
              </w:rPr>
              <w:t xml:space="preserve">2021 год – 89 333,4 тыс. рублей;</w:t>
            </w:r>
            <w:r>
              <w:rPr>
                <w:rFonts w:ascii="PT Astra Serif" w:hAnsi="PT Astra Serif" w:eastAsia="Times New Roman"/>
                <w:color w:val="000000"/>
              </w:rPr>
            </w:r>
            <w:r>
              <w:rPr>
                <w:rFonts w:ascii="PT Astra Serif" w:hAnsi="PT Astra Serif" w:eastAsia="Times New Roman"/>
                <w:color w:val="000000"/>
              </w:rPr>
            </w:r>
          </w:p>
          <w:p>
            <w:pPr>
              <w:jc w:val="both"/>
              <w:rPr>
                <w:rFonts w:ascii="PT Astra Serif" w:hAnsi="PT Astra Serif" w:eastAsia="Times New Roman"/>
                <w:color w:val="000000"/>
              </w:rPr>
            </w:pPr>
            <w:r>
              <w:rPr>
                <w:rFonts w:ascii="PT Astra Serif" w:hAnsi="PT Astra Serif" w:eastAsia="Times New Roman"/>
                <w:color w:val="000000"/>
              </w:rPr>
              <w:t xml:space="preserve">2022 год – 98 813,8 тыс. рублей;</w:t>
            </w:r>
            <w:r>
              <w:rPr>
                <w:rFonts w:ascii="PT Astra Serif" w:hAnsi="PT Astra Serif" w:eastAsia="Times New Roman"/>
                <w:color w:val="000000"/>
              </w:rPr>
            </w:r>
            <w:r>
              <w:rPr>
                <w:rFonts w:ascii="PT Astra Serif" w:hAnsi="PT Astra Serif" w:eastAsia="Times New Roman"/>
                <w:color w:val="000000"/>
              </w:rPr>
            </w:r>
          </w:p>
          <w:p>
            <w:pPr>
              <w:jc w:val="both"/>
              <w:rPr>
                <w:rFonts w:ascii="PT Astra Serif" w:hAnsi="PT Astra Serif" w:eastAsia="Times New Roman"/>
                <w:color w:val="000000"/>
              </w:rPr>
            </w:pPr>
            <w:r>
              <w:rPr>
                <w:rFonts w:ascii="PT Astra Serif" w:hAnsi="PT Astra Serif" w:eastAsia="Times New Roman"/>
                <w:color w:val="000000"/>
              </w:rPr>
              <w:t xml:space="preserve">2023 год – 187 856,</w:t>
            </w:r>
            <w:r>
              <w:rPr>
                <w:rFonts w:ascii="PT Astra Serif" w:hAnsi="PT Astra Serif" w:eastAsia="Times New Roman"/>
              </w:rPr>
              <w:t xml:space="preserve">0</w:t>
            </w:r>
            <w:r>
              <w:rPr>
                <w:rFonts w:ascii="PT Astra Serif" w:hAnsi="PT Astra Serif" w:eastAsia="Times New Roman"/>
                <w:color w:val="000000"/>
              </w:rPr>
              <w:t xml:space="preserve"> тыс. рублей;</w:t>
            </w:r>
            <w:r>
              <w:rPr>
                <w:rFonts w:ascii="PT Astra Serif" w:hAnsi="PT Astra Serif" w:eastAsia="Times New Roman"/>
                <w:color w:val="000000"/>
              </w:rPr>
            </w:r>
            <w:r>
              <w:rPr>
                <w:rFonts w:ascii="PT Astra Serif" w:hAnsi="PT Astra Serif" w:eastAsia="Times New Roman"/>
                <w:color w:val="000000"/>
              </w:rPr>
            </w:r>
          </w:p>
          <w:p>
            <w:pPr>
              <w:jc w:val="both"/>
              <w:rPr>
                <w:rFonts w:ascii="PT Astra Serif" w:hAnsi="PT Astra Serif" w:eastAsia="Times New Roman"/>
                <w:color w:val="000000"/>
              </w:rPr>
            </w:pPr>
            <w:r>
              <w:rPr>
                <w:rFonts w:ascii="PT Astra Serif" w:hAnsi="PT Astra Serif" w:eastAsia="Times New Roman"/>
                <w:color w:val="000000"/>
              </w:rPr>
              <w:t xml:space="preserve">2024 год – 148 648,9</w:t>
            </w:r>
            <w:r>
              <w:rPr>
                <w:rFonts w:ascii="PT Astra Serif" w:hAnsi="PT Astra Serif" w:eastAsia="Times New Roman"/>
                <w:color w:val="000000"/>
              </w:rPr>
              <w:t xml:space="preserve"> тыс. рублей;</w:t>
            </w:r>
            <w:r>
              <w:rPr>
                <w:rFonts w:ascii="PT Astra Serif" w:hAnsi="PT Astra Serif" w:eastAsia="Times New Roman"/>
                <w:color w:val="000000"/>
              </w:rPr>
            </w:r>
            <w:r>
              <w:rPr>
                <w:rFonts w:ascii="PT Astra Serif" w:hAnsi="PT Astra Serif" w:eastAsia="Times New Roman"/>
                <w:color w:val="000000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260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 734,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2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5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1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7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4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 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  <w:t xml:space="preserve">тыс. рублей;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275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 852,60000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 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  <w:t xml:space="preserve">тыс. рублей;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  <w:t xml:space="preserve">2027 год – 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211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 671,50000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 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  <w:t xml:space="preserve">тыс.рублей;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  <w:t xml:space="preserve">2028 год – 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211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 767,90000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 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highlight w:val="none"/>
                <w:lang w:eastAsia="ru-RU"/>
              </w:rPr>
              <w:t xml:space="preserve">т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  <w:t xml:space="preserve">ыс.рублей,</w:t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том числе за счет средств краевого бюджета   – </w:t>
            </w:r>
            <w:r>
              <w:rPr>
                <w:rFonts w:ascii="PT Astra Serif" w:hAnsi="PT Astra Serif"/>
              </w:rPr>
              <w:br/>
              <w:t xml:space="preserve">8 617,0</w:t>
            </w:r>
            <w:r>
              <w:rPr>
                <w:rFonts w:ascii="PT Astra Serif" w:hAnsi="PT Astra Serif"/>
              </w:rPr>
              <w:t xml:space="preserve">0000</w:t>
            </w:r>
            <w:r>
              <w:rPr>
                <w:rFonts w:ascii="PT Astra Serif" w:hAnsi="PT Astra Serif"/>
              </w:rPr>
              <w:t xml:space="preserve"> тыс. рублей: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2020 год – 0,0 тыс. рублей;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2021 год – 0,0 тыс. рублей;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2022 год – </w:t>
            </w:r>
            <w:r>
              <w:rPr>
                <w:rFonts w:ascii="PT Astra Serif" w:hAnsi="PT Astra Serif"/>
                <w:color w:val="000000"/>
              </w:rPr>
              <w:t xml:space="preserve">0,0 </w:t>
            </w:r>
            <w:r>
              <w:rPr>
                <w:rFonts w:ascii="PT Astra Serif" w:hAnsi="PT Astra Serif"/>
              </w:rPr>
              <w:t xml:space="preserve">тыс. рублей;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2023 год – </w:t>
            </w:r>
            <w:r>
              <w:rPr>
                <w:rFonts w:ascii="PT Astra Serif" w:hAnsi="PT Astra Serif"/>
                <w:color w:val="000000"/>
              </w:rPr>
              <w:t xml:space="preserve">8 617,0 </w:t>
            </w:r>
            <w:r>
              <w:rPr>
                <w:rFonts w:ascii="PT Astra Serif" w:hAnsi="PT Astra Serif"/>
              </w:rPr>
              <w:t xml:space="preserve">тыс. рублей;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</w:rPr>
              <w:t xml:space="preserve">2024 год – </w:t>
            </w:r>
            <w:r>
              <w:rPr>
                <w:rFonts w:ascii="PT Astra Serif" w:hAnsi="PT Astra Serif"/>
                <w:color w:val="000000"/>
              </w:rPr>
              <w:t xml:space="preserve">0,0 тыс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  <w:color w:val="000000"/>
              </w:rPr>
              <w:t xml:space="preserve">рублей;</w:t>
            </w:r>
            <w:r>
              <w:rPr>
                <w:rFonts w:ascii="PT Astra Serif" w:hAnsi="PT Astra Serif"/>
                <w:color w:val="000000"/>
              </w:rPr>
            </w:r>
            <w:r>
              <w:rPr>
                <w:rFonts w:ascii="PT Astra Serif" w:hAnsi="PT Astra Serif"/>
                <w:color w:val="000000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2025 год – 0,0</w:t>
            </w:r>
            <w:r>
              <w:rPr>
                <w:rFonts w:ascii="PT Astra Serif" w:hAnsi="PT Astra Serif"/>
                <w:color w:val="000000"/>
              </w:rPr>
              <w:t xml:space="preserve">0000</w:t>
            </w:r>
            <w:r>
              <w:rPr>
                <w:rFonts w:ascii="PT Astra Serif" w:hAnsi="PT Astra Serif"/>
                <w:color w:val="000000"/>
              </w:rPr>
              <w:t xml:space="preserve"> тыс. </w:t>
            </w:r>
            <w:r>
              <w:rPr>
                <w:rFonts w:ascii="PT Astra Serif" w:hAnsi="PT Astra Serif"/>
              </w:rPr>
              <w:t xml:space="preserve">рублей;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2026 год – 0,0</w:t>
            </w:r>
            <w:r>
              <w:rPr>
                <w:rFonts w:ascii="PT Astra Serif" w:hAnsi="PT Astra Serif"/>
              </w:rPr>
              <w:t xml:space="preserve">0000</w:t>
            </w:r>
            <w:r>
              <w:rPr>
                <w:rFonts w:ascii="PT Astra Serif" w:hAnsi="PT Astra Serif"/>
              </w:rPr>
              <w:t xml:space="preserve"> тыс.рублей;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2027 год – 0,0</w:t>
            </w:r>
            <w:r>
              <w:rPr>
                <w:rFonts w:ascii="PT Astra Serif" w:hAnsi="PT Astra Serif"/>
              </w:rPr>
              <w:t xml:space="preserve">0000</w:t>
            </w:r>
            <w:r>
              <w:rPr>
                <w:rFonts w:ascii="PT Astra Serif" w:hAnsi="PT Astra Serif"/>
              </w:rPr>
              <w:t xml:space="preserve"> тыс.рублей;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2028 год – 0,00000 тыс.рублей,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том числе за счет средств бюджета города </w:t>
            </w:r>
            <w:r>
              <w:rPr>
                <w:rFonts w:ascii="PT Astra Serif" w:hAnsi="PT Astra Serif"/>
              </w:rPr>
              <w:br/>
            </w:r>
            <w:r>
              <w:rPr>
                <w:rFonts w:ascii="PT Astra Serif" w:hAnsi="PT Astra Serif"/>
              </w:rPr>
              <w:t xml:space="preserve">Барнаула – 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1 375 191,35174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PT Astra Serif" w:hAnsi="PT Astra Serif"/>
              </w:rPr>
              <w:t xml:space="preserve">тыс.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рублей: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ind w:firstLine="23"/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2020 год – 60 823,4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ind w:firstLine="23"/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2021 год – 71 333,4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ind w:firstLine="23"/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2022 год – 80 813,8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ind w:firstLine="23"/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2023 год – 159 676,0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ind w:firstLine="23"/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2024 год – 128 641,5</w:t>
            </w:r>
            <w:r>
              <w:rPr>
                <w:rFonts w:ascii="PT Astra Serif" w:hAnsi="PT Astra Serif" w:eastAsia="Times New Roman"/>
              </w:rPr>
              <w:t xml:space="preserve">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2025 год – 239 174,25174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2026 год – 254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 331,60000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2027 год – 190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 150,5000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0 тыс.рублей;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2028 год – 190 246,90000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  <w:t xml:space="preserve"> тыс.рублей,</w:t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PT Astra Serif" w:hAnsi="PT Astra Serif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том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  </w:t>
            </w:r>
            <w:r>
              <w:rPr>
                <w:rFonts w:ascii="PT Astra Serif" w:hAnsi="PT Astra Serif"/>
              </w:rPr>
              <w:t xml:space="preserve">числе </w:t>
            </w:r>
            <w:r>
              <w:rPr>
                <w:rFonts w:ascii="PT Astra Serif" w:hAnsi="PT Astra Serif"/>
              </w:rPr>
              <w:t xml:space="preserve">  </w:t>
            </w:r>
            <w:r>
              <w:rPr>
                <w:rFonts w:ascii="PT Astra Serif" w:hAnsi="PT Astra Serif"/>
              </w:rPr>
              <w:t xml:space="preserve">за </w:t>
            </w:r>
            <w:r>
              <w:rPr>
                <w:rFonts w:ascii="PT Astra Serif" w:hAnsi="PT Astra Serif"/>
              </w:rPr>
              <w:t xml:space="preserve">  </w:t>
            </w:r>
            <w:r>
              <w:rPr>
                <w:rFonts w:ascii="PT Astra Serif" w:hAnsi="PT Astra Serif"/>
              </w:rPr>
              <w:t xml:space="preserve">счет </w:t>
            </w:r>
            <w:r>
              <w:rPr>
                <w:rFonts w:ascii="PT Astra Serif" w:hAnsi="PT Astra Serif"/>
              </w:rPr>
              <w:t xml:space="preserve">  </w:t>
            </w:r>
            <w:r>
              <w:rPr>
                <w:rFonts w:ascii="PT Astra Serif" w:hAnsi="PT Astra Serif"/>
              </w:rPr>
              <w:t xml:space="preserve">внебюджетных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источников –</w:t>
            </w:r>
            <w:r>
              <w:rPr>
                <w:rFonts w:ascii="PT Astra Serif" w:hAnsi="PT Astra Serif" w:eastAsia="Times New Roman"/>
                <w:highlight w:val="none"/>
              </w:rPr>
              <w:t xml:space="preserve">179 693,40000</w:t>
            </w:r>
            <w:r>
              <w:rPr>
                <w:rFonts w:ascii="PT Astra Serif" w:hAnsi="PT Astra Serif" w:eastAsia="Times New Roman"/>
              </w:rPr>
              <w:t xml:space="preserve"> </w:t>
            </w:r>
            <w:r>
              <w:rPr>
                <w:rFonts w:ascii="PT Astra Serif" w:hAnsi="PT Astra Serif"/>
              </w:rPr>
              <w:t xml:space="preserve">тыс.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рублей: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2020 год – 18 000,0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2021 год – 18 000,0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2022 год – 18 000,0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2023 год – 19 563,0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jc w:val="both"/>
              <w:rPr>
                <w:rFonts w:ascii="PT Astra Serif" w:hAnsi="PT Astra Serif" w:eastAsia="Times New Roman"/>
              </w:rPr>
            </w:pPr>
            <w:r>
              <w:rPr>
                <w:rFonts w:ascii="PT Astra Serif" w:hAnsi="PT Astra Serif" w:eastAsia="Times New Roman"/>
              </w:rPr>
              <w:t xml:space="preserve">2024 год – 20 007,4</w:t>
            </w:r>
            <w:bookmarkStart w:id="1" w:name="_GoBack"/>
            <w:r/>
            <w:bookmarkEnd w:id="1"/>
            <w:r>
              <w:rPr>
                <w:rFonts w:ascii="PT Astra Serif" w:hAnsi="PT Astra Serif" w:eastAsia="Times New Roman"/>
              </w:rPr>
              <w:t xml:space="preserve"> тыс. рублей;</w:t>
            </w:r>
            <w:r>
              <w:rPr>
                <w:rFonts w:ascii="PT Astra Serif" w:hAnsi="PT Astra Serif" w:eastAsia="Times New Roman"/>
              </w:rPr>
            </w:r>
            <w:r>
              <w:rPr>
                <w:rFonts w:ascii="PT Astra Serif" w:hAnsi="PT Astra Serif" w:eastAsia="Times New Roman"/>
              </w:rPr>
            </w:r>
          </w:p>
          <w:p>
            <w:pPr>
              <w:jc w:val="both"/>
              <w:rPr>
                <w:rFonts w:ascii="PT Astra Serif" w:hAnsi="PT Astra Serif" w:eastAsia="Times New Roman"/>
                <w:highlight w:val="none"/>
              </w:rPr>
            </w:pPr>
            <w:r>
              <w:rPr>
                <w:rFonts w:ascii="PT Astra Serif" w:hAnsi="PT Astra Serif" w:eastAsia="Times New Roman"/>
                <w:highlight w:val="none"/>
              </w:rPr>
              <w:t xml:space="preserve">2025 год – 21 560</w:t>
            </w:r>
            <w:r>
              <w:rPr>
                <w:rFonts w:ascii="PT Astra Serif" w:hAnsi="PT Astra Serif" w:eastAsia="Times New Roman"/>
                <w:highlight w:val="none"/>
              </w:rPr>
              <w:t xml:space="preserve">,0</w:t>
            </w:r>
            <w:r>
              <w:rPr>
                <w:rFonts w:ascii="PT Astra Serif" w:hAnsi="PT Astra Serif" w:eastAsia="Times New Roman"/>
                <w:highlight w:val="none"/>
              </w:rPr>
              <w:t xml:space="preserve">0000</w:t>
            </w:r>
            <w:r>
              <w:rPr>
                <w:rFonts w:ascii="PT Astra Serif" w:hAnsi="PT Astra Serif" w:eastAsia="Times New Roman"/>
                <w:highlight w:val="none"/>
              </w:rPr>
              <w:t xml:space="preserve"> тыс. рублей;</w:t>
            </w:r>
            <w:r>
              <w:rPr>
                <w:rFonts w:ascii="PT Astra Serif" w:hAnsi="PT Astra Serif" w:eastAsia="Times New Roman"/>
                <w:highlight w:val="none"/>
              </w:rPr>
            </w:r>
            <w:r>
              <w:rPr>
                <w:rFonts w:ascii="PT Astra Serif" w:hAnsi="PT Astra Serif" w:eastAsia="Times New Roman"/>
                <w:highlight w:val="none"/>
              </w:rPr>
            </w:r>
          </w:p>
          <w:p>
            <w:pPr>
              <w:jc w:val="both"/>
              <w:rPr>
                <w:rFonts w:ascii="PT Astra Serif" w:hAnsi="PT Astra Serif" w:eastAsia="Times New Roman"/>
                <w:highlight w:val="none"/>
              </w:rPr>
            </w:pPr>
            <w:r>
              <w:rPr>
                <w:rFonts w:ascii="PT Astra Serif" w:hAnsi="PT Astra Serif" w:eastAsia="Times New Roman"/>
                <w:highlight w:val="none"/>
              </w:rPr>
              <w:t xml:space="preserve">2026 год – 21 521,0</w:t>
            </w:r>
            <w:r>
              <w:rPr>
                <w:rFonts w:ascii="PT Astra Serif" w:hAnsi="PT Astra Serif" w:eastAsia="Times New Roman"/>
                <w:highlight w:val="none"/>
              </w:rPr>
              <w:t xml:space="preserve">0000</w:t>
            </w:r>
            <w:r>
              <w:rPr>
                <w:rFonts w:ascii="PT Astra Serif" w:hAnsi="PT Astra Serif" w:eastAsia="Times New Roman"/>
                <w:highlight w:val="none"/>
              </w:rPr>
              <w:t xml:space="preserve"> тыс. рублей;</w:t>
            </w:r>
            <w:r>
              <w:rPr>
                <w:rFonts w:ascii="PT Astra Serif" w:hAnsi="PT Astra Serif" w:eastAsia="Times New Roman"/>
                <w:highlight w:val="none"/>
              </w:rPr>
            </w:r>
            <w:r>
              <w:rPr>
                <w:rFonts w:ascii="PT Astra Serif" w:hAnsi="PT Astra Serif" w:eastAsia="Times New Roman"/>
                <w:highlight w:val="none"/>
              </w:rPr>
            </w:r>
          </w:p>
          <w:p>
            <w:pPr>
              <w:jc w:val="both"/>
              <w:rPr>
                <w:rFonts w:ascii="PT Astra Serif" w:hAnsi="PT Astra Serif" w:eastAsia="Times New Roman"/>
                <w:highlight w:val="none"/>
              </w:rPr>
            </w:pPr>
            <w:r>
              <w:rPr>
                <w:rFonts w:ascii="PT Astra Serif" w:hAnsi="PT Astra Serif" w:eastAsia="Times New Roman"/>
                <w:highlight w:val="none"/>
              </w:rPr>
              <w:t xml:space="preserve">2027 год – 21 521,0</w:t>
            </w:r>
            <w:r>
              <w:rPr>
                <w:rFonts w:ascii="PT Astra Serif" w:hAnsi="PT Astra Serif" w:eastAsia="Times New Roman"/>
                <w:highlight w:val="none"/>
              </w:rPr>
              <w:t xml:space="preserve">0000 тыс.рублей;</w:t>
            </w:r>
            <w:r>
              <w:rPr>
                <w:rFonts w:ascii="PT Astra Serif" w:hAnsi="PT Astra Serif" w:eastAsia="Times New Roman"/>
                <w:highlight w:val="none"/>
              </w:rPr>
            </w:r>
            <w:r>
              <w:rPr>
                <w:rFonts w:ascii="PT Astra Serif" w:hAnsi="PT Astra Serif" w:eastAsia="Times New Roman"/>
                <w:highlight w:val="none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 w:eastAsia="Times New Roman"/>
                <w:highlight w:val="none"/>
              </w:rPr>
            </w:pPr>
            <w:r>
              <w:rPr>
                <w:rFonts w:ascii="PT Astra Serif" w:hAnsi="PT Astra Serif" w:eastAsia="Times New Roman"/>
                <w:highlight w:val="none"/>
              </w:rPr>
              <w:t xml:space="preserve">2028 год – 21 521,00000 тыс.рублей.</w:t>
            </w:r>
            <w:r>
              <w:rPr>
                <w:rFonts w:ascii="PT Astra Serif" w:hAnsi="PT Astra Serif" w:eastAsia="Times New Roman"/>
                <w:highlight w:val="none"/>
              </w:rPr>
              <w:t xml:space="preserve"> </w:t>
            </w:r>
            <w:r>
              <w:rPr>
                <w:rFonts w:ascii="PT Astra Serif" w:hAnsi="PT Astra Serif" w:eastAsia="Times New Roman"/>
                <w:highlight w:val="none"/>
              </w:rPr>
            </w:r>
            <w:r>
              <w:rPr>
                <w:rFonts w:ascii="PT Astra Serif" w:hAnsi="PT Astra Serif" w:eastAsia="Times New Roman"/>
                <w:highlight w:val="none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Реализация мероприятий в рамках Программы в части финансирования из средств бюджета города Барнаула является расходным обязательством городского </w:t>
            </w:r>
            <w:r>
              <w:rPr>
                <w:rFonts w:ascii="PT Astra Serif" w:hAnsi="PT Astra Serif"/>
              </w:rPr>
              <w:br/>
            </w:r>
            <w:r>
              <w:rPr>
                <w:rFonts w:ascii="PT Astra Serif" w:hAnsi="PT Astra Serif"/>
              </w:rPr>
              <w:t xml:space="preserve">округа – города Барнаула Алтайского края.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Объемы финансирования</w:t>
            </w:r>
            <w:r>
              <w:rPr>
                <w:rFonts w:ascii="PT Astra Serif" w:hAnsi="PT Astra Serif"/>
              </w:rPr>
              <w:t xml:space="preserve"> подлежат ежегодному уточнению </w:t>
            </w:r>
            <w:r>
              <w:rPr>
                <w:rFonts w:ascii="PT Astra Serif" w:hAnsi="PT Astra Serif"/>
              </w:rPr>
              <w:t xml:space="preserve">в соответствии с решением Барнаульской городской Думы о бюджете города Барнаула на очередной фин</w:t>
            </w:r>
            <w:r>
              <w:rPr>
                <w:rFonts w:ascii="PT Astra Serif" w:hAnsi="PT Astra Serif"/>
              </w:rPr>
              <w:t xml:space="preserve">ансовый год и на плановый период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>
          <w:trHeight w:val="1990"/>
        </w:trPr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 xml:space="preserve">Объемы налоговых расходов города Барнаула в рамках Программы</w:t>
            </w:r>
            <w:r>
              <w:rPr>
                <w:rFonts w:ascii="PT Astra Serif" w:hAnsi="PT Astra Serif"/>
                <w:bCs/>
              </w:rPr>
            </w:r>
            <w:r>
              <w:rPr>
                <w:rFonts w:ascii="PT Astra Serif" w:hAnsi="PT Astra Serif"/>
                <w:bCs/>
              </w:rPr>
            </w:r>
          </w:p>
          <w:p>
            <w:pPr>
              <w:spacing w:line="235" w:lineRule="auto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</w:r>
            <w:r>
              <w:rPr>
                <w:rFonts w:ascii="PT Astra Serif" w:hAnsi="PT Astra Serif"/>
                <w:bCs/>
              </w:rPr>
            </w:r>
            <w:r>
              <w:rPr>
                <w:rFonts w:ascii="PT Astra Serif" w:hAnsi="PT Astra Serif"/>
                <w:bCs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Объемы налоговых расходов города Барнаула в рамках Программы в 2020 –</w:t>
            </w:r>
            <w:r>
              <w:rPr>
                <w:rFonts w:ascii="PT Astra Serif" w:hAnsi="PT Astra Serif"/>
              </w:rPr>
              <w:t xml:space="preserve"> 2028</w:t>
            </w:r>
            <w:r>
              <w:rPr>
                <w:rFonts w:ascii="PT Astra Serif" w:hAnsi="PT Astra Serif"/>
              </w:rPr>
              <w:t xml:space="preserve"> годах составляю</w:t>
            </w:r>
            <w:r>
              <w:rPr>
                <w:rFonts w:ascii="PT Astra Serif" w:hAnsi="PT Astra Serif"/>
              </w:rPr>
              <w:t xml:space="preserve">т </w:t>
            </w:r>
            <w:r>
              <w:rPr>
                <w:rFonts w:ascii="PT Astra Serif" w:hAnsi="PT Astra Serif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131,0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0000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</w:rPr>
              <w:t xml:space="preserve">тыс.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рублей, в том числе по годам: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2020 год – 39,0 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2021 год – 30,7 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2022 год – 30,2 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2023 год – 21,6 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2024 год – 1,9 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2025 год – 1,90000 тыс. 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2026 год – 1,90000 тыс.рублей;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2027 год – 1,9000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0 тыс.рублей;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2028 год – 1,90000 тыс.рублей.</w:t>
            </w:r>
            <w:r>
              <w:rPr>
                <w:rFonts w:ascii="PT Astra Serif" w:hAnsi="PT Astra Serif"/>
                <w:sz w:val="28"/>
                <w:szCs w:val="28"/>
              </w:rPr>
            </w: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 2020-2024 годы объем налоговых расходов города Барнаула указан в соответствии с фискальными характеристиками налоговых расходов города Барнаула, предоставленных УФНС России по Алтайскому краю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  <w:tr>
        <w:tblPrEx/>
        <w:trPr/>
        <w:tc>
          <w:tcPr>
            <w:tcW w:w="2330" w:type="dxa"/>
            <w:textDirection w:val="lrTb"/>
            <w:noWrap w:val="false"/>
          </w:tcPr>
          <w:p>
            <w:pPr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Ожидаемые результаты реализации Программы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PT Astra Serif" w:hAnsi="PT Astra Serif"/>
                <w:highlight w:val="none"/>
              </w:rPr>
            </w:pPr>
            <w:r>
              <w:rPr>
                <w:rFonts w:ascii="PT Astra Serif" w:hAnsi="PT Astra Serif"/>
              </w:rPr>
              <w:t xml:space="preserve">Реализация Программы позволит обеспечить</w:t>
            </w:r>
            <w:r>
              <w:rPr>
                <w:rFonts w:ascii="PT Astra Serif" w:hAnsi="PT Astra Serif"/>
              </w:rPr>
              <w:t xml:space="preserve">:</w:t>
            </w:r>
            <w:r>
              <w:rPr>
                <w:rFonts w:ascii="PT Astra Serif" w:hAnsi="PT Astra Serif"/>
                <w:highlight w:val="none"/>
              </w:rPr>
            </w:r>
            <w:r>
              <w:rPr>
                <w:rFonts w:ascii="PT Astra Serif" w:hAnsi="PT Astra Serif"/>
                <w:highlight w:val="none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ежегодный охват дополнительным профессиональным образованием за счет средств подпрограммы «Совершенствование кадрового обеспечения муниципального управления в городе Барнауле» не менее 22</w:t>
            </w:r>
            <w:r>
              <w:rPr>
                <w:rFonts w:ascii="PT Astra Serif" w:hAnsi="PT Astra Serif"/>
              </w:rPr>
              <w:t xml:space="preserve">,0</w:t>
            </w:r>
            <w:r>
              <w:rPr>
                <w:rFonts w:ascii="PT Astra Serif" w:hAnsi="PT Astra Serif"/>
              </w:rPr>
              <w:t xml:space="preserve">%</w:t>
            </w:r>
            <w:r>
              <w:rPr>
                <w:rFonts w:ascii="PT Astra Serif" w:hAnsi="PT Astra Serif"/>
              </w:rPr>
              <w:t xml:space="preserve"> муниципальных служащих;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увеличение </w:t>
            </w:r>
            <w:r>
              <w:rPr>
                <w:rFonts w:ascii="PT Astra Serif" w:hAnsi="PT Astra Serif" w:eastAsia="PT Astra Serif" w:cs="PT Astra Serif"/>
              </w:rPr>
              <w:t xml:space="preserve">количества городских мероприятий, направленных на гармонизацию межнациональных и межконфессиональных отношений и развитие национальных культур в городе Барнауле, до 300 в год;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jc w:val="both"/>
              <w:spacing w:line="235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увеличение </w:t>
            </w:r>
            <w:r>
              <w:rPr>
                <w:rFonts w:ascii="PT Astra Serif" w:hAnsi="PT Astra Serif"/>
              </w:rPr>
              <w:t xml:space="preserve">и сохранение </w:t>
            </w:r>
            <w:r>
              <w:rPr>
                <w:rFonts w:ascii="PT Astra Serif" w:hAnsi="PT Astra Serif"/>
              </w:rPr>
              <w:t xml:space="preserve">доли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безопасности, от </w:t>
            </w:r>
            <w:r>
              <w:rPr>
                <w:rFonts w:ascii="PT Astra Serif" w:hAnsi="PT Astra Serif"/>
              </w:rPr>
              <w:t xml:space="preserve">их </w:t>
            </w:r>
            <w:r>
              <w:rPr>
                <w:rFonts w:ascii="PT Astra Serif" w:hAnsi="PT Astra Serif"/>
              </w:rPr>
              <w:t xml:space="preserve">общего </w:t>
            </w:r>
            <w:r>
              <w:rPr>
                <w:rFonts w:ascii="PT Astra Serif" w:hAnsi="PT Astra Serif"/>
              </w:rPr>
              <w:t xml:space="preserve">числа </w:t>
            </w:r>
            <w:r>
              <w:rPr>
                <w:rFonts w:ascii="PT Astra Serif" w:hAnsi="PT Astra Serif"/>
              </w:rPr>
              <w:t xml:space="preserve">на уровне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96,0</w:t>
            </w:r>
            <w:r>
              <w:rPr>
                <w:rFonts w:ascii="PT Astra Serif" w:hAnsi="PT Astra Serif"/>
              </w:rPr>
              <w:t xml:space="preserve">%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</w:tbl>
    <w:p>
      <w:pPr>
        <w:ind w:right="-2"/>
        <w:jc w:val="both"/>
        <w:tabs>
          <w:tab w:val="left" w:pos="390" w:leader="none"/>
          <w:tab w:val="left" w:pos="936" w:leader="none"/>
          <w:tab w:val="left" w:pos="1014" w:leader="none"/>
        </w:tabs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98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5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sz w:val="28"/>
        <w:szCs w:val="28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853"/>
    <w:link w:val="852"/>
    <w:uiPriority w:val="9"/>
    <w:rPr>
      <w:rFonts w:ascii="Arial" w:hAnsi="Arial" w:eastAsia="Arial" w:cs="Arial"/>
      <w:sz w:val="40"/>
      <w:szCs w:val="40"/>
    </w:rPr>
  </w:style>
  <w:style w:type="paragraph" w:styleId="679">
    <w:name w:val="Heading 2"/>
    <w:basedOn w:val="851"/>
    <w:next w:val="851"/>
    <w:link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0">
    <w:name w:val="Heading 2 Char"/>
    <w:basedOn w:val="853"/>
    <w:link w:val="679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51"/>
    <w:next w:val="851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3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1"/>
    <w:next w:val="851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3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1"/>
    <w:next w:val="851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3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1"/>
    <w:next w:val="851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3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1"/>
    <w:next w:val="85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3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1"/>
    <w:next w:val="851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1"/>
    <w:next w:val="851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3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1"/>
    <w:next w:val="851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3"/>
    <w:link w:val="696"/>
    <w:uiPriority w:val="10"/>
    <w:rPr>
      <w:sz w:val="48"/>
      <w:szCs w:val="48"/>
    </w:rPr>
  </w:style>
  <w:style w:type="paragraph" w:styleId="698">
    <w:name w:val="Subtitle"/>
    <w:basedOn w:val="851"/>
    <w:next w:val="851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3"/>
    <w:link w:val="698"/>
    <w:uiPriority w:val="11"/>
    <w:rPr>
      <w:sz w:val="24"/>
      <w:szCs w:val="24"/>
    </w:rPr>
  </w:style>
  <w:style w:type="paragraph" w:styleId="700">
    <w:name w:val="Quote"/>
    <w:basedOn w:val="851"/>
    <w:next w:val="851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1"/>
    <w:next w:val="851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3"/>
    <w:link w:val="858"/>
    <w:uiPriority w:val="99"/>
  </w:style>
  <w:style w:type="character" w:styleId="705">
    <w:name w:val="Footer Char"/>
    <w:basedOn w:val="853"/>
    <w:link w:val="860"/>
    <w:uiPriority w:val="99"/>
  </w:style>
  <w:style w:type="paragraph" w:styleId="706">
    <w:name w:val="Caption"/>
    <w:basedOn w:val="851"/>
    <w:next w:val="851"/>
    <w:link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853"/>
    <w:link w:val="706"/>
    <w:uiPriority w:val="35"/>
    <w:rPr>
      <w:b/>
      <w:bCs/>
      <w:color w:val="4f81bd" w:themeColor="accent1"/>
      <w:sz w:val="18"/>
      <w:szCs w:val="18"/>
    </w:rPr>
  </w:style>
  <w:style w:type="table" w:styleId="708">
    <w:name w:val="Table Grid"/>
    <w:basedOn w:val="8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8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9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0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1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2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3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5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9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2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6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3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3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</w:style>
  <w:style w:type="paragraph" w:styleId="852">
    <w:name w:val="Heading 1"/>
    <w:basedOn w:val="851"/>
    <w:next w:val="851"/>
    <w:link w:val="865"/>
    <w:uiPriority w:val="99"/>
    <w:qFormat/>
    <w:pPr>
      <w:jc w:val="center"/>
      <w:spacing w:before="108" w:after="108"/>
      <w:outlineLvl w:val="0"/>
    </w:pPr>
    <w:rPr>
      <w:rFonts w:ascii="Arial" w:hAnsi="Arial" w:cs="Arial"/>
      <w:b/>
      <w:bCs/>
      <w:color w:val="26282f"/>
    </w:rPr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 w:customStyle="1">
    <w:name w:val="ConsPlusCell"/>
    <w:uiPriority w:val="99"/>
    <w:rPr>
      <w:rFonts w:eastAsia="Times New Roman"/>
    </w:rPr>
  </w:style>
  <w:style w:type="paragraph" w:styleId="857">
    <w:name w:val="List Paragraph"/>
    <w:basedOn w:val="851"/>
    <w:uiPriority w:val="99"/>
    <w:qFormat/>
    <w:pPr>
      <w:contextualSpacing/>
      <w:ind w:left="720"/>
    </w:pPr>
    <w:rPr>
      <w:lang w:eastAsia="en-US"/>
    </w:rPr>
  </w:style>
  <w:style w:type="paragraph" w:styleId="858">
    <w:name w:val="Header"/>
    <w:basedOn w:val="851"/>
    <w:link w:val="859"/>
    <w:uiPriority w:val="99"/>
    <w:pPr>
      <w:tabs>
        <w:tab w:val="center" w:pos="4677" w:leader="none"/>
        <w:tab w:val="right" w:pos="9355" w:leader="none"/>
      </w:tabs>
    </w:pPr>
  </w:style>
  <w:style w:type="character" w:styleId="859" w:customStyle="1">
    <w:name w:val="Верхний колонтитул Знак"/>
    <w:link w:val="858"/>
    <w:uiPriority w:val="99"/>
    <w:rPr>
      <w:rFonts w:eastAsia="Times New Roman" w:cs="Times New Roman"/>
      <w:sz w:val="24"/>
      <w:szCs w:val="24"/>
      <w:lang w:eastAsia="ru-RU"/>
    </w:rPr>
  </w:style>
  <w:style w:type="paragraph" w:styleId="860">
    <w:name w:val="Footer"/>
    <w:basedOn w:val="851"/>
    <w:link w:val="861"/>
    <w:uiPriority w:val="99"/>
    <w:semiHidden/>
    <w:pPr>
      <w:tabs>
        <w:tab w:val="center" w:pos="4677" w:leader="none"/>
        <w:tab w:val="right" w:pos="9355" w:leader="none"/>
      </w:tabs>
    </w:pPr>
  </w:style>
  <w:style w:type="character" w:styleId="861" w:customStyle="1">
    <w:name w:val="Нижний колонтитул Знак"/>
    <w:link w:val="860"/>
    <w:uiPriority w:val="99"/>
    <w:semiHidden/>
    <w:rPr>
      <w:rFonts w:eastAsia="Times New Roman" w:cs="Times New Roman"/>
      <w:sz w:val="24"/>
      <w:szCs w:val="24"/>
      <w:lang w:eastAsia="ru-RU"/>
    </w:rPr>
  </w:style>
  <w:style w:type="paragraph" w:styleId="862" w:customStyle="1">
    <w:name w:val="Нормальный (таблица)"/>
    <w:basedOn w:val="851"/>
    <w:next w:val="851"/>
    <w:uiPriority w:val="99"/>
    <w:pPr>
      <w:jc w:val="both"/>
    </w:pPr>
    <w:rPr>
      <w:rFonts w:ascii="Arial" w:hAnsi="Arial" w:cs="Arial"/>
    </w:rPr>
  </w:style>
  <w:style w:type="paragraph" w:styleId="863">
    <w:name w:val="Balloon Text"/>
    <w:basedOn w:val="851"/>
    <w:link w:val="864"/>
    <w:semiHidden/>
    <w:unhideWhenUsed/>
    <w:rPr>
      <w:rFonts w:ascii="Segoe UI" w:hAnsi="Segoe UI" w:cs="Segoe UI"/>
      <w:sz w:val="18"/>
      <w:szCs w:val="18"/>
    </w:rPr>
  </w:style>
  <w:style w:type="character" w:styleId="864" w:customStyle="1">
    <w:name w:val="Текст выноски Знак"/>
    <w:link w:val="863"/>
    <w:uiPriority w:val="99"/>
    <w:semiHidden/>
    <w:rPr>
      <w:rFonts w:ascii="Segoe UI" w:hAnsi="Segoe UI" w:eastAsia="Times New Roman" w:cs="Segoe UI"/>
      <w:sz w:val="18"/>
      <w:szCs w:val="18"/>
    </w:rPr>
  </w:style>
  <w:style w:type="character" w:styleId="865" w:customStyle="1">
    <w:name w:val="Заголовок 1 Знак"/>
    <w:link w:val="852"/>
    <w:uiPriority w:val="99"/>
    <w:rPr>
      <w:rFonts w:ascii="Arial" w:hAnsi="Arial" w:cs="Arial"/>
      <w:b/>
      <w:bCs/>
      <w:color w:val="26282f"/>
      <w:sz w:val="24"/>
      <w:szCs w:val="24"/>
    </w:rPr>
  </w:style>
  <w:style w:type="character" w:styleId="866" w:customStyle="1">
    <w:name w:val="Цветовое выделение"/>
    <w:uiPriority w:val="99"/>
    <w:rPr>
      <w:b/>
      <w:bCs/>
      <w:color w:val="26282f"/>
    </w:rPr>
  </w:style>
  <w:style w:type="character" w:styleId="867" w:customStyle="1">
    <w:name w:val="Гипертекстовая ссылка"/>
    <w:uiPriority w:val="99"/>
    <w:rPr>
      <w:b/>
      <w:bCs/>
      <w:color w:val="106bbe"/>
    </w:rPr>
  </w:style>
  <w:style w:type="paragraph" w:styleId="868" w:customStyle="1">
    <w:name w:val="Прижатый влево"/>
    <w:basedOn w:val="851"/>
    <w:next w:val="851"/>
    <w:uiPriority w:val="99"/>
    <w:rPr>
      <w:rFonts w:ascii="Arial" w:hAnsi="Arial" w:cs="Arial"/>
    </w:rPr>
  </w:style>
  <w:style w:type="character" w:styleId="869">
    <w:name w:val="annotation reference"/>
    <w:uiPriority w:val="99"/>
    <w:semiHidden/>
    <w:unhideWhenUsed/>
    <w:rPr>
      <w:sz w:val="16"/>
      <w:szCs w:val="16"/>
    </w:rPr>
  </w:style>
  <w:style w:type="paragraph" w:styleId="870">
    <w:name w:val="annotation text"/>
    <w:basedOn w:val="851"/>
    <w:link w:val="871"/>
    <w:uiPriority w:val="99"/>
    <w:semiHidden/>
    <w:unhideWhenUsed/>
    <w:rPr>
      <w:sz w:val="20"/>
      <w:szCs w:val="20"/>
    </w:rPr>
  </w:style>
  <w:style w:type="character" w:styleId="871" w:customStyle="1">
    <w:name w:val="Текст примечания Знак"/>
    <w:link w:val="870"/>
    <w:uiPriority w:val="99"/>
    <w:semiHidden/>
    <w:rPr>
      <w:rFonts w:eastAsia="Times New Roman"/>
    </w:rPr>
  </w:style>
  <w:style w:type="paragraph" w:styleId="872">
    <w:name w:val="annotation subject"/>
    <w:basedOn w:val="870"/>
    <w:next w:val="870"/>
    <w:link w:val="873"/>
    <w:uiPriority w:val="99"/>
    <w:semiHidden/>
    <w:unhideWhenUsed/>
    <w:rPr>
      <w:b/>
      <w:bCs/>
    </w:rPr>
  </w:style>
  <w:style w:type="character" w:styleId="873" w:customStyle="1">
    <w:name w:val="Тема примечания Знак"/>
    <w:link w:val="872"/>
    <w:uiPriority w:val="99"/>
    <w:semiHidden/>
    <w:rPr>
      <w:rFonts w:eastAsia="Times New Roman"/>
      <w:b/>
      <w:bCs/>
    </w:rPr>
  </w:style>
  <w:style w:type="paragraph" w:styleId="874" w:customStyle="1">
    <w:name w:val="ConsPlusNormal"/>
    <w:pPr>
      <w:widowControl w:val="off"/>
    </w:pPr>
    <w:rPr>
      <w:rFonts w:ascii="Calibri" w:hAnsi="Calibri" w:eastAsia="Times New Roman" w:cs="Calibri"/>
      <w:sz w:val="22"/>
    </w:rPr>
  </w:style>
  <w:style w:type="paragraph" w:styleId="875" w:customStyle="1">
    <w:name w:val="ConsPlusTitle"/>
    <w:pPr>
      <w:widowControl w:val="off"/>
    </w:pPr>
    <w:rPr>
      <w:rFonts w:ascii="Calibri" w:hAnsi="Calibri" w:eastAsia="Times New Roman" w:cs="Calibri"/>
      <w:b/>
      <w:sz w:val="22"/>
    </w:rPr>
  </w:style>
  <w:style w:type="paragraph" w:styleId="876" w:customStyle="1">
    <w:name w:val="Комментарий"/>
    <w:basedOn w:val="851"/>
    <w:next w:val="851"/>
    <w:uiPriority w:val="99"/>
    <w:pPr>
      <w:ind w:left="170"/>
      <w:jc w:val="both"/>
      <w:spacing w:before="75"/>
      <w:widowControl w:val="off"/>
    </w:pPr>
    <w:rPr>
      <w:rFonts w:ascii="Times New Roman CYR" w:hAnsi="Times New Roman CYR" w:cs="Times New Roman CYR" w:eastAsiaTheme="minorEastAsia"/>
      <w:color w:val="353842"/>
    </w:rPr>
  </w:style>
  <w:style w:type="paragraph" w:styleId="877" w:customStyle="1">
    <w:name w:val="Информация о версии"/>
    <w:basedOn w:val="876"/>
    <w:next w:val="851"/>
    <w:uiPriority w:val="99"/>
    <w:rPr>
      <w:i/>
      <w:iCs/>
    </w:rPr>
  </w:style>
  <w:style w:type="character" w:styleId="878">
    <w:name w:val="Hyperlink"/>
    <w:basedOn w:val="853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44D23-A657-4072-9F18-E20C33E3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 г.Барнаула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kudro.lk</dc:creator>
  <cp:lastModifiedBy>berdova.yn</cp:lastModifiedBy>
  <cp:revision>32</cp:revision>
  <dcterms:created xsi:type="dcterms:W3CDTF">2025-01-22T08:32:00Z</dcterms:created>
  <dcterms:modified xsi:type="dcterms:W3CDTF">2025-12-24T09:29:08Z</dcterms:modified>
</cp:coreProperties>
</file>